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4777740</wp:posOffset>
            </wp:positionH>
            <wp:positionV relativeFrom="paragraph">
              <wp:posOffset>-368933</wp:posOffset>
            </wp:positionV>
            <wp:extent cx="1608455" cy="352425"/>
            <wp:effectExtent b="0" l="0" r="0" t="0"/>
            <wp:wrapNone/>
            <wp:docPr id="17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-313053</wp:posOffset>
            </wp:positionH>
            <wp:positionV relativeFrom="paragraph">
              <wp:posOffset>-862962</wp:posOffset>
            </wp:positionV>
            <wp:extent cx="2428875" cy="2428875"/>
            <wp:effectExtent b="0" l="0" r="0" t="0"/>
            <wp:wrapNone/>
            <wp:docPr descr="C:\Users\User.ZALIVKA\Downloads\Демография_лого_цвет_лев.png" id="1745" name="image1.png"/>
            <a:graphic>
              <a:graphicData uri="http://schemas.openxmlformats.org/drawingml/2006/picture">
                <pic:pic>
                  <pic:nvPicPr>
                    <pic:cNvPr descr="C:\Users\User.ZALIVKA\Downloads\Демография_лого_цвет_лев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-1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 проектов из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региона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признали лучшими практиками Активного долголетия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-15" w:firstLine="0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В Москве объявили победителей и финалистов третьего Всероссийского отбора лучших практик активного долголетия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mc:AlternateContent>
          <mc:Choice Requires="wpg">
            <w:drawing>
              <wp:inline distB="0" distT="0" distL="0" distR="0">
                <wp:extent cx="6120765" cy="64636"/>
                <wp:effectExtent b="0" l="0" r="0" t="0"/>
                <wp:docPr id="17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5600" y="3747100"/>
                          <a:ext cx="6120765" cy="64636"/>
                          <a:chOff x="2285600" y="3747100"/>
                          <a:chExt cx="6120800" cy="65225"/>
                        </a:xfrm>
                      </wpg:grpSpPr>
                      <wpg:grpSp>
                        <wpg:cNvGrpSpPr/>
                        <wpg:grpSpPr>
                          <a:xfrm>
                            <a:off x="2285618" y="3747682"/>
                            <a:ext cx="6120765" cy="64636"/>
                            <a:chOff x="2285600" y="3741100"/>
                            <a:chExt cx="6120800" cy="711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85600" y="3741100"/>
                              <a:ext cx="6120800" cy="7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618" y="3747682"/>
                              <a:ext cx="6120765" cy="64538"/>
                              <a:chOff x="0" y="0"/>
                              <a:chExt cx="6052934" cy="131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52925" cy="1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52934" cy="0"/>
                              </a:xfrm>
                              <a:custGeom>
                                <a:rect b="b" l="l" r="r" t="t"/>
                                <a:pathLst>
                                  <a:path extrusionOk="0" h="120000" w="6052934">
                                    <a:moveTo>
                                      <a:pt x="0" y="0"/>
                                    </a:moveTo>
                                    <a:lnTo>
                                      <a:pt x="605293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125">
                                <a:solidFill>
                                  <a:srgbClr val="00AECD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0765" cy="64636"/>
                <wp:effectExtent b="0" l="0" r="0" t="0"/>
                <wp:docPr id="17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646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 проектов из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региона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были признаны лучшими практиками активного долголетия и рекомендованы для тиражирования во всех регионах страны. При этом, Х практик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перечислить все практики-победителей, если есть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стали победителями третьего Всероссийского отбора, который проводится при поддержке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национального проекта “Демография”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Кроме того, Х проектов для людей старшего поколения стали финалистами конкурсного отбора.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Перечислить все практики, вошедшие в сборник, с кратким описанием из таблицы.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Благополучателями практик активного долголетия, принимавших участие в третьем Всероссийском отборе, стали более 525 тыс. человек. Из 923 заявок эксперты выбрали для тиражирования 113 практик, в том числе 15 победителей, которых объявили 19 апреля в пресс-центре ТАСС в Москве.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они вошли в сборник лучших практик «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Активное долголетие 2022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получат поддержку в продвижении и будут рекомендованы для масштабирования по всей стране. Конкурсный отбор организован АНО «Национальные приоритеты» совместно с Министерством труда и социальной защиты РФ и Агентством стратегических инициатив (АСИ) при поддержке национального проекта «Демография».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Сегодня всем очевидно, что интересную и насыщенную жизнь могут и должны вести люди всех возрастов. Поддержка старшего поколения проводится системно и комплексно. В нее включены развитие гериатрической помощи, содействие занятости старшего поколения, развитие социальных услуг, программы активной жизни и волонтерские программы. Мы продолжаем разрабатывать и широко внедрять в повседневную жизнь граждан новые наборы возможностей для старшего поколения. Всероссийский отбор лучших практик активного долголетия остается одним из самых эффективных инструментов в этой работе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сообщила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заместитель Председателя Правительства России Татьяна Голикова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Победителями третьего Всероссийского отбора стали 15 практик активного долголетия из 11 регионов страны. Больше всего проектов победителей посвящены обеспечению активной жизни людей старшего возраста - в этой номинации были отмечены пять проектов из Калужской, Саратовской и Тюменской областей, а также из Москвы и Санкт-Петербурга. В направлении здорового образа жизни победили конкурсанты из Вологодской, Липецкой областей и Санкт-Петербурга. В этом году также значительная часть практик-победителей посвящены медицинскому и социальному уходу, общественной заботе и профилактике. Проекты в этом направлении представили двое участников из Красноярского края, а также конкурсанты из Москвы, Московской области и Санкт-Петербурга. В сфере образования и занятости старшего поколения были выбраны практики из Ханты-Мансийского АО и Ульяновской области.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 год количество регионов участников увеличилось до 59, а число заявок выросло в полтора раза - с 689 до 923. В том числе в финал вышли 14 проектов некоммерческих организаций и 7 корпоративных практик. Большинство практик-финалистов этого года направлены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привлечение людей старшего возраста к активному участию в жизни общества, социальных проектов и к волонтерству. В этом направлении представлены 53 проекта из различных регионов. 49 практик посвящены формированию сообществ и борьбе с одиночеством людей серебряного возраста. 39 проектов направлены на восстановление и поддержание ментального здоровья. А 25 практик предлагают методики наставничества и социальной помощи для старшего поколения.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«Качество жизни людей старшего поколения всегда было и остается одним из государственных приоритетов. Благодаря национальному проекту “Демография” совершенствуются подходы к оказанию социальных услуг и возводятся новые объекты для пожилых людей. Все больший охват приобретают те решения и практики, которые помогают вести активный образ жизни тем, кто находится в серебряном возрасте. Благодаря конкурсу лучших региональных практик собран новый банк готовых проработанных и масштабируемых активностей с пошаговым алгоритмом действий. Уверен, что эти практики помогут увеличить охват программы активного долголетия и вдохновят работающих в системе социальной защиты на создание новых возможностей для пожилых людей»,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отметил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министр труда и социальной защиты РФ Антон Котяков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Всероссийского отбора лучших практик активного долголетия проходит не только обмен опытом, но и обучение организаторов социальных проектов для людей старшего возраста.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Мы вместе с нашими партнерами провели акселератор для участников отбора, и специалистов социальной сферы. Акселератор вели ведущие эксперты в сферах коммуникаций в условиях турбулентности, партнерства и спонсорства, презентации проектов и публичных выступлений, мотивации и других. Акселератор прошли более 9,5 тысяч участников из 89 регионов. Мы будем продолжать эту практику, 91% участников оценили программу акселератора на 5 и 5 баллов. Мы будем продолжать эту практику и совершенствовать образовательную программу»,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прокомментировала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генеральный директор АНО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Национальные приоритеты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София Малявина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 также сообщила, что в новом сезоне Всероссийского отбора лучших практик активного долголетия АНО «Национальные приоритеты» и Минтруд России планируют учредить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специальный призовой фонд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Победители смогут получить гранты на развитие своих проектов.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четвертом сезоне мы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учредим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грантовый фонд для лучших проектов. О механике вручения и критериях мы, наверное, расскажем чуть позже. Сейчас мы все обсудим, чтобы это было в правовом поле, и тогда объявим. Поэтому ждем все регионы уже в этом году подаваться с вашими лучшими практиками активного долголетия»,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София Малявина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мнению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первого заместителя министра труда и социальной защиты РФ Ольги Баталиной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создание грантового фонда позволит увеличить количество участников и расширить географию конкурсного отбора.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«Я думаю, что введение грантового фонда в этот конкурс еще дополнительно усилит стимулы и для выявления лучших практик, и для их тиражирования, –  отметила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Ольга Баталина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Мы огромные надежды возлагаем и на наш отбор, и на поддержку регионов в этом вопросе. Я очень надеюсь, что в следующем году у нас будет не 59 регионов-участников, а значительно больше».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Заместитель операционного директора АСИ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Илья Мамыкин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рассказал о том, как проходит тиражирование практик, вошедших в число финалистов прошлогоднего отбора и размещенных на платформе «Смартека».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«Благодаря конкурсу мы получили постоянно пополняющуюся базу проектов, которые востребованные у регионов. 25 практик, ставших финалистами в прошлом году, были тиражированы 47 раз. Среди них, например, проект Костромской области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Изумрудный город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по психосоциальной и трудовой реабилитации людей старшего поколения через работу с растениями. Опыт уже используется в домах-интернатах Сахалинской и Челябинской областей, а также внедряется в Омской и Кемеровской областях.  Популярна и практика Рязанской области -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Арт-терапия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Она уже используется в трех соцучреждениях Челябинской области и внедряется в Приморском крае. Еще один пример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Школа ухода за гражданами пожилого возраста и инвалидами 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Красноярского края. Она внедрена в Челябинской и Тюменской области, а также в Ямало-Ненецком автономном округе. В процессе внедрения – в Омской области. Отмечу, что АСИ готово поддерживать такие практики не только с точки зрения их тиражирования, но и в части доработки и развития идей,»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сказал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представитель Агентства стратегических инициатив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пригласил всех авторов практик Активного долголетия принять участие в форуме АСИ «Сильные идеи для нового времени», который состоится 29-30 июня. На форуме они смогут найти новые пути развития и партнеров для масштабирования своих проектов.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6120455" cy="3695700"/>
            <wp:effectExtent b="0" l="0" r="0" t="0"/>
            <wp:docPr id="174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369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highlight w:val="white"/>
          <w:rtl w:val="0"/>
        </w:rPr>
        <w:t xml:space="preserve">Охват практик-победителей третьего Всероссийского отбора лучших практик активного долголетия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Победителями отбора «Лучшие практики активного долголетия - 2022» стали: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«Активная жизнь»: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Помогая другим - помогаю себе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Калужская область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Практики сотворчества для старшего поколения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г. Москва 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Студия кройки и шитья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Саратовская область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Танцевально-двигательная терапия для старшего поколения «Танцы народов мира»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г. Санкт-Петербург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Штаб-квартира «серебряного» добровольчества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Тюменская область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«Здоровый образ жизни»: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Серебряный» возраст —думай, действуй, живи!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Вологодская область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Игра «Плейстик» для активного долголетия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г. Санкт-Петербург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Липецкое долголетие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Липецкая область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«Медицинский и социальный уход, общественная забота и профилактика»: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Мастерская памяти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Красноярский край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Академия ухода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Красноярский край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Деменции —нет!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г. Москва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Патронажная служба «Забота по соседству»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Московская область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Среда поддержки ухаживающих за людьми старшего поколения «Человек рядом»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г. Санкт-Петербург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«Образование и занятость»: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Практико-ориентированная программа «Серебряные бусы»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Ханты-Мансийский автономный округ – Югра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Просветительская лаборатория для старшего поколения «Нас услышат»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Ульяновская область 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Справочно: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Конкурсный отбор лучших практик активного долголетия проходит при поддержке национального проекта “Демография”. Организаторы - АНО “Национальные приоритеты”, Министерство труда и социальной защиты России и Агентство стратегических инициатив. Партнерами отбора выступают Благотворительный фонд Елены и Геннадия Тимченко, НИУ ВШЭ, Общественная палата России, Ассоциация волонтерских центров, Российский геронтологический научно-клинический центр РНИМУ им. Н. И. Пирогова Минздрава России, Альянс “Серебряный возраст”, Всероссийская общественная организация ветеранов (пенсионеров) войны, труда, Вооруженных Сил и правоохранительных органов, благотворительный фонд “Почет”.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Отбор включен в план мероприятий на 2021-2025 годы по реализации второго этапа Стратегии действий в интересах граждан старшего поколения в Российской Федерации до 2025 года, утвержденный распоряжением Правительства РФ от 23 июня 2021 г. № 1692-р.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30" w:type="default"/>
      <w:pgSz w:h="16838" w:w="11906" w:orient="portrait"/>
      <w:pgMar w:bottom="284" w:top="1134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45320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D271E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BC1393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A0983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D22CE5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C642A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 w:val="1"/>
    <w:rsid w:val="00D35DBE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35DBE"/>
  </w:style>
  <w:style w:type="paragraph" w:styleId="a6">
    <w:name w:val="footer"/>
    <w:basedOn w:val="a"/>
    <w:link w:val="a7"/>
    <w:uiPriority w:val="99"/>
    <w:unhideWhenUsed w:val="1"/>
    <w:rsid w:val="00D35DBE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35DBE"/>
  </w:style>
  <w:style w:type="paragraph" w:styleId="a8">
    <w:name w:val="List Paragraph"/>
    <w:basedOn w:val="a"/>
    <w:uiPriority w:val="34"/>
    <w:qFormat w:val="1"/>
    <w:rsid w:val="00FA20CE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uiPriority w:val="9"/>
    <w:rsid w:val="0045320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table" w:styleId="TableNormal" w:customStyle="1">
    <w:name w:val="Table Normal"/>
    <w:rsid w:val="00586DB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ru-RU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bold" w:customStyle="1">
    <w:name w:val="bold"/>
    <w:basedOn w:val="a0"/>
    <w:rsid w:val="00DA3999"/>
  </w:style>
  <w:style w:type="paragraph" w:styleId="a9">
    <w:name w:val="Normal (Web)"/>
    <w:basedOn w:val="a"/>
    <w:uiPriority w:val="99"/>
    <w:unhideWhenUsed w:val="1"/>
    <w:rsid w:val="00D61A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readmore-snippet-title" w:customStyle="1">
    <w:name w:val="readmore-snippet-title"/>
    <w:basedOn w:val="a"/>
    <w:rsid w:val="00D61A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readmore-snippet-subtitle" w:customStyle="1">
    <w:name w:val="readmore-snippet-subtitle"/>
    <w:basedOn w:val="a"/>
    <w:rsid w:val="00D61A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D271EC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photo-snippet-copyright" w:customStyle="1">
    <w:name w:val="photo-snippet-copyright"/>
    <w:basedOn w:val="a0"/>
    <w:rsid w:val="000B32E0"/>
  </w:style>
  <w:style w:type="character" w:styleId="30" w:customStyle="1">
    <w:name w:val="Заголовок 3 Знак"/>
    <w:basedOn w:val="a0"/>
    <w:link w:val="3"/>
    <w:uiPriority w:val="9"/>
    <w:rsid w:val="00BC1393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hcc" w:customStyle="1">
    <w:name w:val="hcc"/>
    <w:basedOn w:val="a0"/>
    <w:rsid w:val="0006483E"/>
  </w:style>
  <w:style w:type="character" w:styleId="aa">
    <w:name w:val="Strong"/>
    <w:basedOn w:val="a0"/>
    <w:uiPriority w:val="22"/>
    <w:qFormat w:val="1"/>
    <w:rsid w:val="00813B88"/>
    <w:rPr>
      <w:b w:val="1"/>
      <w:bCs w:val="1"/>
    </w:rPr>
  </w:style>
  <w:style w:type="character" w:styleId="spellingerror" w:customStyle="1">
    <w:name w:val="spellingerror"/>
    <w:basedOn w:val="a0"/>
    <w:rsid w:val="00101805"/>
  </w:style>
  <w:style w:type="paragraph" w:styleId="articledesc" w:customStyle="1">
    <w:name w:val="article__desc"/>
    <w:basedOn w:val="a"/>
    <w:rsid w:val="00940A5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include-articlestitle" w:customStyle="1">
    <w:name w:val="include-articles__title"/>
    <w:basedOn w:val="a"/>
    <w:rsid w:val="00940A5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 w:val="1"/>
    <w:rsid w:val="00866F3E"/>
    <w:pPr>
      <w:spacing w:after="0" w:line="240" w:lineRule="auto"/>
    </w:pPr>
    <w:rPr>
      <w:rFonts w:ascii="Calibri" w:cs="Calibri" w:eastAsia="Times New Roman" w:hAnsi="Calibri"/>
    </w:rPr>
  </w:style>
  <w:style w:type="character" w:styleId="ac" w:customStyle="1">
    <w:name w:val="Без интервала Знак"/>
    <w:link w:val="ab"/>
    <w:uiPriority w:val="99"/>
    <w:locked w:val="1"/>
    <w:rsid w:val="00866F3E"/>
    <w:rPr>
      <w:rFonts w:ascii="Calibri" w:cs="Calibri" w:eastAsia="Times New Roman" w:hAnsi="Calibri"/>
    </w:rPr>
  </w:style>
  <w:style w:type="paragraph" w:styleId="11" w:customStyle="1">
    <w:name w:val="Знак1"/>
    <w:basedOn w:val="a"/>
    <w:uiPriority w:val="99"/>
    <w:rsid w:val="00866F3E"/>
    <w:pPr>
      <w:spacing w:line="240" w:lineRule="exact"/>
    </w:pPr>
    <w:rPr>
      <w:rFonts w:ascii="Tahoma" w:cs="Tahoma" w:eastAsia="Times New Roman" w:hAnsi="Tahoma"/>
      <w:sz w:val="20"/>
      <w:szCs w:val="20"/>
      <w:lang w:val="en-US"/>
    </w:rPr>
  </w:style>
  <w:style w:type="paragraph" w:styleId="ConsPlusNormal" w:customStyle="1">
    <w:name w:val="ConsPlusNormal"/>
    <w:link w:val="ConsPlusNormal0"/>
    <w:qFormat w:val="1"/>
    <w:rsid w:val="00866F3E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</w:rPr>
  </w:style>
  <w:style w:type="character" w:styleId="ConsPlusNormal0" w:customStyle="1">
    <w:name w:val="ConsPlusNormal Знак"/>
    <w:link w:val="ConsPlusNormal"/>
    <w:locked w:val="1"/>
    <w:rsid w:val="00866F3E"/>
    <w:rPr>
      <w:rFonts w:ascii="Arial" w:cs="Arial" w:eastAsia="Times New Roman" w:hAnsi="Arial"/>
    </w:rPr>
  </w:style>
  <w:style w:type="character" w:styleId="wmi-callto" w:customStyle="1">
    <w:name w:val="wmi-callto"/>
    <w:basedOn w:val="a0"/>
    <w:rsid w:val="006979C9"/>
  </w:style>
  <w:style w:type="character" w:styleId="40" w:customStyle="1">
    <w:name w:val="Заголовок 4 Знак"/>
    <w:basedOn w:val="a0"/>
    <w:link w:val="4"/>
    <w:uiPriority w:val="9"/>
    <w:semiHidden w:val="1"/>
    <w:rsid w:val="003A0983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ad">
    <w:name w:val="Emphasis"/>
    <w:basedOn w:val="a0"/>
    <w:uiPriority w:val="20"/>
    <w:qFormat w:val="1"/>
    <w:rsid w:val="003A0983"/>
    <w:rPr>
      <w:i w:val="1"/>
      <w:iCs w:val="1"/>
    </w:rPr>
  </w:style>
  <w:style w:type="character" w:styleId="text-gray-700" w:customStyle="1">
    <w:name w:val="text-gray-700"/>
    <w:basedOn w:val="a0"/>
    <w:rsid w:val="007D7C9F"/>
  </w:style>
  <w:style w:type="character" w:styleId="ae">
    <w:name w:val="FollowedHyperlink"/>
    <w:basedOn w:val="a0"/>
    <w:uiPriority w:val="99"/>
    <w:semiHidden w:val="1"/>
    <w:unhideWhenUsed w:val="1"/>
    <w:rsid w:val="002F45B2"/>
    <w:rPr>
      <w:color w:val="954f72" w:themeColor="followedHyperlink"/>
      <w:u w:val="single"/>
    </w:rPr>
  </w:style>
  <w:style w:type="character" w:styleId="fn" w:customStyle="1">
    <w:name w:val="fn"/>
    <w:basedOn w:val="a0"/>
    <w:rsid w:val="00642A8B"/>
  </w:style>
  <w:style w:type="character" w:styleId="12" w:customStyle="1">
    <w:name w:val="Неразрешенное упоминание1"/>
    <w:basedOn w:val="a0"/>
    <w:uiPriority w:val="99"/>
    <w:semiHidden w:val="1"/>
    <w:unhideWhenUsed w:val="1"/>
    <w:rsid w:val="00616525"/>
    <w:rPr>
      <w:color w:val="605e5c"/>
      <w:shd w:color="auto" w:fill="e1dfdd" w:val="clear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546C3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546C39"/>
    <w:rPr>
      <w:rFonts w:ascii="Segoe UI" w:cs="Segoe UI" w:hAnsi="Segoe UI"/>
      <w:sz w:val="18"/>
      <w:szCs w:val="18"/>
    </w:rPr>
  </w:style>
  <w:style w:type="character" w:styleId="21" w:customStyle="1">
    <w:name w:val="Неразрешенное упоминание2"/>
    <w:basedOn w:val="a0"/>
    <w:uiPriority w:val="99"/>
    <w:semiHidden w:val="1"/>
    <w:unhideWhenUsed w:val="1"/>
    <w:rsid w:val="00E16642"/>
    <w:rPr>
      <w:color w:val="605e5c"/>
      <w:shd w:color="auto" w:fill="e1dfdd" w:val="clear"/>
    </w:rPr>
  </w:style>
  <w:style w:type="character" w:styleId="31" w:customStyle="1">
    <w:name w:val="Неразрешенное упоминание3"/>
    <w:basedOn w:val="a0"/>
    <w:uiPriority w:val="99"/>
    <w:semiHidden w:val="1"/>
    <w:unhideWhenUsed w:val="1"/>
    <w:rsid w:val="00382FBF"/>
    <w:rPr>
      <w:color w:val="605e5c"/>
      <w:shd w:color="auto" w:fill="e1dfdd" w:val="clear"/>
    </w:rPr>
  </w:style>
  <w:style w:type="character" w:styleId="41" w:customStyle="1">
    <w:name w:val="Неразрешенное упоминание4"/>
    <w:basedOn w:val="a0"/>
    <w:uiPriority w:val="99"/>
    <w:semiHidden w:val="1"/>
    <w:unhideWhenUsed w:val="1"/>
    <w:rsid w:val="006172FE"/>
    <w:rPr>
      <w:color w:val="605e5c"/>
      <w:shd w:color="auto" w:fill="e1dfdd" w:val="clear"/>
    </w:rPr>
  </w:style>
  <w:style w:type="character" w:styleId="50" w:customStyle="1">
    <w:name w:val="Заголовок 5 Знак"/>
    <w:basedOn w:val="a0"/>
    <w:link w:val="5"/>
    <w:uiPriority w:val="9"/>
    <w:semiHidden w:val="1"/>
    <w:rsid w:val="00D22CE5"/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D6B6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marteka.com/contest/practice/vosstanovlenie-vnimania-pamati-i-myslenia-u-ludej-starse-55-let-serebranyj-vozrast-dumaj-dejstvuj-zivi" TargetMode="External"/><Relationship Id="rId22" Type="http://schemas.openxmlformats.org/officeDocument/2006/relationships/hyperlink" Target="https://smarteka.com/contest/practice/lipeckoe-dolgoletie" TargetMode="External"/><Relationship Id="rId21" Type="http://schemas.openxmlformats.org/officeDocument/2006/relationships/hyperlink" Target="https://smarteka.com/contest/practice/igra-plejstik-dla-aktivnogo-dolgoletia" TargetMode="External"/><Relationship Id="rId24" Type="http://schemas.openxmlformats.org/officeDocument/2006/relationships/hyperlink" Target="https://smarteka.com/contest/practice/akademia-uhoda-dla-lic-osusestvlausih-uhod-za-pozilymi-i-invalidami-v-usloviah-sistemy-dolgovremennogo-uhoda" TargetMode="External"/><Relationship Id="rId23" Type="http://schemas.openxmlformats.org/officeDocument/2006/relationships/hyperlink" Target="https://smarteka.com/contest/practice/masterskaa-pamati-profilaktika-kognitivnyh-narusenij-u-ludej-starsego-vozrasta-i-ograniceneniami-vozmoznost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hyperlink" Target="https://smarteka.com/contest/practice/novaa-model-patronaznyh-uslug-zabota-po-sosedstvu-0" TargetMode="External"/><Relationship Id="rId25" Type="http://schemas.openxmlformats.org/officeDocument/2006/relationships/hyperlink" Target="https://smarteka.com/contest/practice/demencii-net-volonterskaa-prosvetitelskaa-programma-napravlennaa-na-podderzanie-kognitivnogo-zdorova" TargetMode="External"/><Relationship Id="rId28" Type="http://schemas.openxmlformats.org/officeDocument/2006/relationships/hyperlink" Target="https://smarteka.com/contest/practice/praktiko-orientirovannaa-programma-serebranye-busy-fakulteta-moda-i-stil-universiteta-tretego-vozrasta" TargetMode="External"/><Relationship Id="rId27" Type="http://schemas.openxmlformats.org/officeDocument/2006/relationships/hyperlink" Target="https://smarteka.com/contest/practice/sreda-podderzki-uhazivausih-za-ludmi-starsego-pokolenia-celovek-radom-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smarteka.com/contest/practice/prosvetitelskaa-laboratoria-dla-starsego-pokolenia-nas-uslysat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30" Type="http://schemas.openxmlformats.org/officeDocument/2006/relationships/footer" Target="footer1.xml"/><Relationship Id="rId11" Type="http://schemas.openxmlformats.org/officeDocument/2006/relationships/hyperlink" Target="https://smarteka.com/contest/practice/socialnaa-reabilitacia-polucatelej-socialnyh-uslug-s-ispolzovaniem-gardenoterapii" TargetMode="External"/><Relationship Id="rId10" Type="http://schemas.openxmlformats.org/officeDocument/2006/relationships/hyperlink" Target="https://xn--80aapampemcchfmo7a3c9ehj.xn--p1ai/upload/aktivnoe-dolgoletie/2022-lite.pdf" TargetMode="External"/><Relationship Id="rId13" Type="http://schemas.openxmlformats.org/officeDocument/2006/relationships/hyperlink" Target="https://smarteka.com/practices/skola-uhoda-za-grazdanami-pozilogo-vozrasta-i-invalidami?tab=task" TargetMode="External"/><Relationship Id="rId12" Type="http://schemas.openxmlformats.org/officeDocument/2006/relationships/hyperlink" Target="https://smarteka.com/contest/practice/art-elektivnyj-kollaz-4" TargetMode="External"/><Relationship Id="rId15" Type="http://schemas.openxmlformats.org/officeDocument/2006/relationships/hyperlink" Target="https://smarteka.com/contest/practice/pomogaa-drugim-pomogau-sebe" TargetMode="External"/><Relationship Id="rId14" Type="http://schemas.openxmlformats.org/officeDocument/2006/relationships/image" Target="media/image3.png"/><Relationship Id="rId17" Type="http://schemas.openxmlformats.org/officeDocument/2006/relationships/hyperlink" Target="https://smarteka.com/contest/practice/studia-krojki-i-sita-dla-pensionerov" TargetMode="External"/><Relationship Id="rId16" Type="http://schemas.openxmlformats.org/officeDocument/2006/relationships/hyperlink" Target="https://smarteka.com/contest/practice/praktiki-sotvorcestva-dla-starsego-pokolenia" TargetMode="External"/><Relationship Id="rId19" Type="http://schemas.openxmlformats.org/officeDocument/2006/relationships/hyperlink" Target="https://smarteka.com/contest/practice/stab-kvartira-serebranogo-dobrovolcestva-0" TargetMode="External"/><Relationship Id="rId18" Type="http://schemas.openxmlformats.org/officeDocument/2006/relationships/hyperlink" Target="https://smarteka.com/contest/practice/tancevalno-dvigatelnaa-terapia-dla-starsego-pokolenia-tancy-narodov-mir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svVsxAUUbk+QWd084hJVrb26Mg==">AMUW2mW1aoD5LIrjsDYNFJhvFF0K9aGrUqNK7VZ/YYJn209nNqwvDPicWVkJJ3/QzV+G5Zv2oELV1wxj77Daqt1pR0agLl2me8Fz0+vlXwtmkf1Q3S7BCmA=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2022-04-28T11:35:00Z</dcterms:created>
  <dc:creator>User</dc:creator>
</cp:coreProperties>
</file>